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276" w:before="0" w:after="0"/>
        <w:jc w:val="center"/>
      </w:pPr>
      <w:r>
        <w:rPr>
          <w:b/>
        </w:rPr>
        <w:t>ОПОВЕЩЕНИЕ</w:t>
      </w:r>
    </w:p>
    <w:p>
      <w:pPr>
        <w:spacing w:lineRule="auto" w:line="276" w:before="0" w:after="0"/>
        <w:ind w:firstLine="709"/>
        <w:jc w:val="center"/>
      </w:pPr>
      <w:r>
        <w:rPr>
          <w:b/>
        </w:rPr>
        <w:t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Десеновское, вблизи д. Пенино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внесения изменений в правила землепользования и застройки города Москвы в отношении территории по адресу: НАО, поселение Десеновское, вблизи д. Пенино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spacing w:lineRule="auto" w:line="276" w:before="0"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проводятся 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оповещению).</w:t>
      </w:r>
    </w:p>
    <w:p>
      <w:pPr>
        <w:spacing w:lineRule="auto" w:line="276" w:before="0" w:after="0"/>
        <w:ind w:firstLine="567"/>
        <w:jc w:val="left"/>
      </w:pPr>
      <w:r>
        <w:t>Участниками общественных обсуждений по проекту являются:</w:t>
        <w:br/>
        <w:tab/>
        <w:t>1)       Граждане, имеющие место жительства на территории, в границах которой проводятся общественные обсуждения;</w:t>
        <w:br/>
        <w:tab/>
        <w:t>2)       Граждане, имеющие место работы на территории, в границах которой проводятся общественные обсуждения;</w:t>
        <w:br/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<w:br/>
        <w:tab/>
        <w:t>4)       Депутаты представительных органов муниципальных образований, на территории которых проводятся общественные обсуждения;</w:t>
        <w:br/>
        <w:tab/>
        <w:t>5)       Депутаты Московской городской Думы.</w:t>
      </w:r>
    </w:p>
    <w:p>
      <w:pPr>
        <w:spacing w:lineRule="auto" w:line="276" w:before="0"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>
      <w:pPr>
        <w:spacing w:lineRule="auto" w:line="276" w:before="0"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spacing w:lineRule="auto" w:line="276" w:before="0" w:after="0"/>
        <w:ind w:firstLine="567"/>
        <w:jc w:val="both"/>
      </w:pPr>
      <w:r>
        <w:t>Общий срок проведения общественных обсуждений по проекту составляет не менее одного и не более трех месяцев.</w:t>
      </w:r>
    </w:p>
    <w:p>
      <w:pPr>
        <w:spacing w:lineRule="auto" w:line="276" w:before="0" w:after="0"/>
        <w:ind w:firstLine="567"/>
        <w:jc w:val="both"/>
      </w:pPr>
      <w:r>
        <w:t>Экспозиция проекта открыта 17.11.2021 на официальном сайте и проводится с 08:00 17.11.2021 по 23:59 30.11.2021.</w:t>
      </w:r>
    </w:p>
    <w:p>
      <w:pPr>
        <w:spacing w:lineRule="auto" w:line="276" w:before="0"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r>
        <w:br w:type="page"/>
      </w:r>
    </w:p>
    <w:p>
      <w:pPr>
        <w:jc w:val="right"/>
      </w:pPr>
      <w:r>
        <w:rPr>
          <w:b/>
        </w:rPr>
        <w:t>Приложение к оповещению</w:t>
        <w:br/>
      </w:r>
    </w:p>
    <w:p>
      <w:r>
        <w:drawing>
          <wp:inline xmlns:a="http://schemas.openxmlformats.org/drawingml/2006/main" xmlns:pic="http://schemas.openxmlformats.org/drawingml/2006/picture">
            <wp:extent cx="5400000" cy="381831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ПЗЗ-02997-2021-ЭОО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81831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