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9f87dc581ab3b113824b8230a70cc03b4638c1"/>
    <w:p>
      <w:pPr>
        <w:pStyle w:val="Heading3"/>
      </w:pPr>
      <w:r>
        <w:t xml:space="preserve">Новый выпуск проекта подготовили сотрудники Дворца культуры Щербинки</w:t>
      </w:r>
    </w:p>
    <w:p>
      <w:pPr>
        <w:pStyle w:val="FirstParagraph"/>
      </w:pPr>
      <w:r>
        <w:t xml:space="preserve">07.05.2021</w:t>
      </w:r>
    </w:p>
    <w:p>
      <w:pPr>
        <w:pStyle w:val="BodyText"/>
      </w:pPr>
      <w:r>
        <w:drawing>
          <wp:inline>
            <wp:extent cx="5334000" cy="31618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80/070521g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18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Дворца культуры городского округа Щербинка 6 мая подготовили новый выпуск проекта в формате онлайн.</w:t>
      </w:r>
    </w:p>
    <w:p>
      <w:pPr>
        <w:pStyle w:val="BodyText"/>
      </w:pPr>
      <w:r>
        <w:t xml:space="preserve">— Рады презентовать посетителям наших страниц в социальных сетях очередной видеоурок из цикла «Народный календарь». В этот раз всех желающих приглашаем узнать подробнее о том, почему 6 мая славяне праздновали день Даждьбога. Зрители смогут узнать, что олицетворяет внешний вид Даждьбога, что о нем думали жители Древней Руси. Ведущей выпуска выступила Юлия Аскерова, — сообщила художественный руководитель учреждения Лариса Дьячкова.</w:t>
      </w:r>
    </w:p>
    <w:p>
      <w:pPr>
        <w:pStyle w:val="BodyText"/>
      </w:pPr>
      <w:r>
        <w:t xml:space="preserve">Добавим, что ранее представители ДК подготовили экспозицию детских рисунков в формате онлайн. Работы создали воспитанники студии изобразительного искусства «Зеркало» под руководством Сергея Багрова.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http://tinao.mos.ru/presscenter/news/detail/9930502.html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9930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9930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2025-05-18T17:58:27Z</dcterms:created>
  <dcterms:modified xsi:type="dcterms:W3CDTF">2025-05-18T17:58:27Z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