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8c5c970648cb1aa5accb59404377ebb982629"/>
    <w:p>
      <w:pPr>
        <w:pStyle w:val="Heading3"/>
      </w:pPr>
      <w:r>
        <w:t xml:space="preserve">Реконструкцию зон отдыха завершили в поселении Краснопахорское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e3/image_2019_07_15t08_31_34_065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Реконструкцию зон отдыха завершили в поселении Краснопахорское. Фото предоставили сотрудники администрации поселения Краснопахорское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14 июля завершили реконструкцию детской и тренажерной площадок в селе Красная Пахра поселения Краснопахорское.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реализовали возле жилого дома №3 в рамках благоустройства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установили около 30 игровых конструкций и тренажеров, положили безопасное резиновое покрытие, обновили дорожно-тропиночную сеть вокруг территории и засеяли газоны, — сообщил главный специалист отдела жилищно-коммунального хозяйства, благоустройства и развития территорий администрации Краснопахорского Виктор Бороденко.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завершающим этапом реконструкции станет установка малых архитектурных форм. Так, на прилегающей территории расположат парковые диваны для комфортного отдыха жителей.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http://tinao.mos.ru/presscenter/news/detail/8220132.html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0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0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2025-05-19T12:27:32Z</dcterms:created>
  <dcterms:modified xsi:type="dcterms:W3CDTF">2025-05-19T12:27:32Z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