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51878a2f452ad0b2cbb18c1d2de48475b154e"/>
    <w:p>
      <w:pPr>
        <w:pStyle w:val="Heading3"/>
      </w:pPr>
      <w:r>
        <w:t xml:space="preserve">Ремонт подъездов жилых домов начали в Десеновском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73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6/file6z1bjs91c02dbzv49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подъездов жилых домов начали в Десеновском. Фото: архив</w:t>
      </w:r>
    </w:p>
    <w:p>
      <w:pPr>
        <w:pStyle w:val="BodyText"/>
      </w:pPr>
      <w:r>
        <w:t xml:space="preserve">Сотрудники подрядной организации 22 мая приступили к выборочному капитальному ремонту внутри подъездов жилых зданий в поселении Десеновское.</w:t>
      </w:r>
    </w:p>
    <w:p>
      <w:pPr>
        <w:pStyle w:val="BodyText"/>
      </w:pPr>
      <w:r>
        <w:t xml:space="preserve">Работы проходят по адресам: улица Дмитрия Рябинкина, дом №2, корпуса 1 и 2 и дом №4, корпуса 1 и 2.</w:t>
      </w:r>
    </w:p>
    <w:p>
      <w:pPr>
        <w:pStyle w:val="BodyText"/>
      </w:pPr>
      <w:r>
        <w:t xml:space="preserve">— Сотрудники подрядной организации начали выборочный капитальный ремонт мест общего пользования: тамбурных площадок и подъездов. Специалисты покрасят стены и заменят треснувшую плитку, — рассказала начальник отдела жилищно-коммунального хозяйства администрации Десеновского Лариса Ижак.</w:t>
      </w:r>
    </w:p>
    <w:p>
      <w:pPr>
        <w:pStyle w:val="BodyText"/>
      </w:pPr>
      <w:r>
        <w:t xml:space="preserve">Она отметила, что ранее подрядчики закончили утепление торцовых стен в жилом доме по адресу: улица Дмитрия Рябинкина, дом №4, корпус 1. Внутри подъезда специалисты еще ведут работы.</w:t>
      </w:r>
    </w:p>
    <w:p>
      <w:pPr>
        <w:pStyle w:val="BodyText"/>
      </w:pPr>
      <w:r>
        <w:t xml:space="preserve">Добавим, что благоустройство выполняют в соответствии с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http://tinao.mos.ru/presscenter/news/detail/8103430.html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0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2025-02-11T12:51:27Z</dcterms:created>
  <dcterms:modified xsi:type="dcterms:W3CDTF">2025-02-11T12:51:27Z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