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eed759a029e9ceda0c2137070bb4e5565ca07"/>
    <w:p>
      <w:pPr>
        <w:pStyle w:val="Heading3"/>
      </w:pPr>
      <w:r>
        <w:t xml:space="preserve">Благоустройство дворов завершат к маю в городском округе Троицк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f5/file75cvrdfho607anp8a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Благоустройство дворов завершат к маю в городском округе Троицк. Фото: архив</w:t>
      </w:r>
    </w:p>
    <w:p>
      <w:pPr>
        <w:pStyle w:val="BodyText"/>
      </w:pPr>
      <w:r>
        <w:t xml:space="preserve">В городском округе Троицк представители подрядной организации закончат к 25 мая работы по благоустройству четырех дворовых территорий.</w:t>
      </w:r>
    </w:p>
    <w:p>
      <w:pPr>
        <w:pStyle w:val="BodyText"/>
      </w:pPr>
      <w:r>
        <w:t xml:space="preserve">— Обновление проходит активно. Специалисты закончат благоустройство четырех дворовых территорий по адресам: микрорайон В, дома №3, 9 и улица Школьная, дома №2, 4. Подрядчики обновят покрытие на дорогах и установят новые детские и игровые площадки, — рассказал начальник отдела благоустройства администрации городского округа Троицк Павел Ходырев.</w:t>
      </w:r>
    </w:p>
    <w:p>
      <w:pPr>
        <w:pStyle w:val="BodyText"/>
      </w:pPr>
      <w:r>
        <w:t xml:space="preserve">Он добавил, что в рамках плановых работ специалисты восстановят дорожно-тропиночную сеть и заменят бордюрный камень в сквере между Сиреневым бульваром и улицами Солнечная и Центральная.</w:t>
      </w:r>
    </w:p>
    <w:p>
      <w:pPr>
        <w:pStyle w:val="BodyText"/>
      </w:pPr>
      <w:r>
        <w:t xml:space="preserve">Отметим, что всего представители подрядной организации проводят благоустройство и ремонт 41 объекта дорожного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http://tinao.mos.ru/gazeta_novye_okruga/detail/8090124.html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90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8090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2025-05-23T05:11:49Z</dcterms:created>
  <dcterms:modified xsi:type="dcterms:W3CDTF">2025-05-23T05:11:49Z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