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71c76e2beabb5c25c4cc1b59f60eed054e75c"/>
    <w:p>
      <w:pPr>
        <w:pStyle w:val="Heading3"/>
      </w:pPr>
      <w:r>
        <w:t xml:space="preserve">Открытый турнир по баскетболу среди девушек организуют в школе Десеновского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545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9e/nuzh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Открытый турнир по баскетболу среди девушек организуют в школе Десеновского</w:t>
      </w:r>
    </w:p>
    <w:p>
      <w:pPr>
        <w:pStyle w:val="BodyText"/>
      </w:pPr>
      <w:r>
        <w:t xml:space="preserve">Открытый турнир по баскетболу среди девушек на Кубок поселения Десеновское 20 апреля проведут в пятом корпусе образовательного комплекса «Школа №1392 имени Дмитрия Рябинкина».</w:t>
      </w:r>
    </w:p>
    <w:p>
      <w:pPr>
        <w:pStyle w:val="BodyText"/>
      </w:pPr>
      <w:r>
        <w:t xml:space="preserve">— На соревнованиях выступят женские команды. В их состав войдут девушки 2006-2007 годов рождения. Они представят спортивные и общеобразовательные школы Москвы, — поделился главный специалист отдела по социальным вопросам администрации поселения Десеновское Михаил Монин.</w:t>
      </w:r>
    </w:p>
    <w:p>
      <w:pPr>
        <w:pStyle w:val="BodyText"/>
      </w:pPr>
      <w:r>
        <w:t xml:space="preserve">Он уточнил, что команды, занявшие призовые места, наградят грамотами, медалями и кубками соответствующих степеней. Участникам вручат индивидуальные призы, предоставленные администрацией поселения Десеновское. Кроме того, организаторы определят лидеров в номинациях «Лучший игрок турнира», «Лучший игрок команды» и «Самый ценный игрок турнира».</w:t>
      </w:r>
    </w:p>
    <w:p>
      <w:pPr>
        <w:pStyle w:val="BodyText"/>
      </w:pPr>
      <w:r>
        <w:t xml:space="preserve">Отметим, что соревнования начнутся в 11:00 по адресу: улица 2-я Нововатутинская, дом №2.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http://tinao.mos.ru/gazeta_novye_okruga/detail/8029334.html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29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29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2025-07-12T13:46:23Z</dcterms:created>
  <dcterms:modified xsi:type="dcterms:W3CDTF">2025-07-12T13:46:23Z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