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2dc76617236e3ad01c019d27e43a23a761a122"/>
    <w:p>
      <w:pPr>
        <w:pStyle w:val="Heading3"/>
      </w:pPr>
      <w:r>
        <w:t xml:space="preserve">Межокружной фестиваль по настольным спортивным играм пройдет в Троицке</w:t>
      </w:r>
    </w:p>
    <w:p>
      <w:pPr>
        <w:pStyle w:val="FirstParagraph"/>
      </w:pPr>
      <w:r>
        <w:t xml:space="preserve">27.02.2019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83316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0c/2974f0fd7609cdfa3999b54443be3ad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33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Межокружной фестиваль по настольным спортивным играм пройдет в Троицке. Фото: предоставили в Троицком Спортивно-оздоровительном клубе «Движение»</w:t>
      </w:r>
    </w:p>
    <w:p>
      <w:pPr>
        <w:pStyle w:val="BodyText"/>
      </w:pPr>
      <w:r>
        <w:t xml:space="preserve">Открытый межокружной фестиваль по настольным спортивным играм среди детей с ограниченными возможностями здоровья пройдет 28 февраля в Троицке.</w:t>
      </w:r>
    </w:p>
    <w:p>
      <w:pPr>
        <w:pStyle w:val="BodyText"/>
      </w:pPr>
      <w:r>
        <w:t xml:space="preserve">— Участие смогут принять ребята от 12 до 17 лет. От нашей организации заявки подали более 20 человек. Сколько детей приедут из других поселений и городского округа — пока неизвестно, — рассказал директор Троицкого Спортивно-оздоровительного клуба «Движение» Александр Хамулин.</w:t>
      </w:r>
    </w:p>
    <w:p>
      <w:pPr>
        <w:pStyle w:val="BodyText"/>
      </w:pPr>
      <w:r>
        <w:t xml:space="preserve">Он дополнил, что соревнования пройдут по нескольким играм: «Жульбак», «Корнхолл» и «Кульбутто». Организаторами выступили представители Центра физической культуры и спорта Троицкого и Новомосковского административных округов.</w:t>
      </w:r>
    </w:p>
    <w:p>
      <w:pPr>
        <w:pStyle w:val="BodyText"/>
      </w:pPr>
      <w:r>
        <w:t xml:space="preserve">Начнется фестиваль в 13:00.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http://tinao.mos.ru/presscenter/news/detail/7916662.html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9166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9166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2025-08-03T22:58:40Z</dcterms:created>
  <dcterms:modified xsi:type="dcterms:W3CDTF">2025-08-03T22:58:40Z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