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d288b4c15667ba963a0bdfc1387b363fe08076"/>
    <w:p>
      <w:pPr>
        <w:pStyle w:val="Heading3"/>
      </w:pPr>
      <w:r>
        <w:t xml:space="preserve">Выставку картин представят в Троицком Доме ученых</w:t>
      </w:r>
    </w:p>
    <w:p>
      <w:pPr>
        <w:pStyle w:val="FirstParagraph"/>
      </w:pPr>
      <w:r>
        <w:t xml:space="preserve">11.02.2019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aa/25588177_10214974413570794_285272025446323275_o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Выставку картин представят в Троицком Доме ученых. Фото: официальная страница Троицкого Дома учены в социальных сетях</w:t>
      </w:r>
    </w:p>
    <w:p>
      <w:pPr>
        <w:pStyle w:val="BodyText"/>
      </w:pPr>
      <w:r>
        <w:t xml:space="preserve">Для жителей и гостей городского округа 16 февраля в Троицком Доме ученых откроется выставка картин художницы Юлии Воробьевой, преподавателя Академии акварели и изящных искусств Сергея Андрияки.</w:t>
      </w:r>
    </w:p>
    <w:p>
      <w:pPr>
        <w:pStyle w:val="BodyText"/>
      </w:pPr>
      <w:r>
        <w:t xml:space="preserve">— Свои работы автор выставит у нас уже не в первый раз. Постоянные гости хорошо знакомы с ее стилем. Сейчас Юлия Воробьева представит картины, выполненные в техниках рисования акварелью и пастелью, — сообщил сотрудник Троицкого Дома ученых Сергей Коневских.</w:t>
      </w:r>
    </w:p>
    <w:p>
      <w:pPr>
        <w:pStyle w:val="BodyText"/>
      </w:pPr>
      <w:r>
        <w:t xml:space="preserve">Он отметил, что в экспозицию войдут работы в таких жанрах, как пейзаж и натюрморт. Кроме того, можно будет увидеть и цветочные композиции.</w:t>
      </w:r>
    </w:p>
    <w:p>
      <w:pPr>
        <w:pStyle w:val="BodyText"/>
      </w:pPr>
      <w:r>
        <w:t xml:space="preserve">Открытие выставки состоится в 15:00. Вход свободный, без возрастных ограничений.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http://tinao.mos.ru/presscenter/news/detail/7878972.html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789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789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2024-10-31T07:25:06Z</dcterms:created>
  <dcterms:modified xsi:type="dcterms:W3CDTF">2024-10-31T07:25:06Z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