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7abc1fb104d1696721d949a6125c57e04ece8"/>
    <w:p>
      <w:pPr>
        <w:pStyle w:val="Heading3"/>
      </w:pPr>
      <w:r>
        <w:t xml:space="preserve">Волейбольный турнир на Кубок главы администрации провели в Краснопахорском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  <w:r>
        <w:drawing>
          <wp:inline>
            <wp:extent cx="5334000" cy="36156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8b/fb8e9ab91993b59ae06fc4876ecddcd7232c7d331745f4c992_pimgpsh_fullsize_dist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Волейбольный турнир на Кубок главы администрации провели в Краснопахорском. Фото: Спортивный комплекс «Красная Пахра»</w:t>
      </w:r>
    </w:p>
    <w:p>
      <w:pPr>
        <w:pStyle w:val="BodyText"/>
      </w:pPr>
      <w:r>
        <w:t xml:space="preserve">Турнир на Кубок главы администрации поселения Краснопахорское 15 декабря состоялся на базе Спортивного комплекса «Красная Пахра».</w:t>
      </w:r>
    </w:p>
    <w:p>
      <w:pPr>
        <w:pStyle w:val="BodyText"/>
      </w:pPr>
      <w:r>
        <w:t xml:space="preserve">— Участие в соревнованиях приняли девушки младше 17 лет. Мы впервые провели соревнования для этой возрастной категории. Наши волейболистки оказались лучшими, — кубок остался в поселении, — рассказал заместитель Спортивного комплекса «Красная Пахра» Игорь Белослюдов.</w:t>
      </w:r>
    </w:p>
    <w:p>
      <w:pPr>
        <w:pStyle w:val="BodyText"/>
      </w:pPr>
      <w:r>
        <w:t xml:space="preserve">Он добавил, что серебро и бронзу взяли команды из Щаповского и Троицка соответственно.</w:t>
      </w:r>
    </w:p>
    <w:p>
      <w:pPr>
        <w:pStyle w:val="BodyText"/>
      </w:pPr>
      <w:r>
        <w:t xml:space="preserve">Кроме этого, по итогам соревнований отличившиеся волейболистки получили награды в таких номинациях, как «Лучший защитник», «Лучший нападающий», «Лучший пасующий» и «Лучший блокирующий».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http://tinao.mos.ru/presscenter/news/detail/7771321.html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1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1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2025-03-12T02:22:08Z</dcterms:created>
  <dcterms:modified xsi:type="dcterms:W3CDTF">2025-03-12T02:22:08Z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