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1b2310d25afa91db0fe5f40b111937473b16e8"/>
    <w:p>
      <w:pPr>
        <w:pStyle w:val="Heading3"/>
      </w:pPr>
      <w:r>
        <w:t xml:space="preserve">Получатели социальных услуг из Троицка посетили маскарад</w:t>
      </w:r>
    </w:p>
    <w:p>
      <w:pPr>
        <w:pStyle w:val="FirstParagraph"/>
      </w:pPr>
      <w:r>
        <w:t xml:space="preserve">17.12.2018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a34/file6h5nu7g6m9j9x3z04v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Получатели социальных услуг из Троицка посетили маскарад. Фото: архив</w:t>
      </w:r>
    </w:p>
    <w:p>
      <w:pPr>
        <w:pStyle w:val="BodyText"/>
      </w:pPr>
      <w:r>
        <w:t xml:space="preserve">Жители городского округа вместе с представителями Центра социального обслуживания «Троицкий» 15 декабря посетили праздник «Карнавальная ночь».</w:t>
      </w:r>
    </w:p>
    <w:p>
      <w:pPr>
        <w:pStyle w:val="BodyText"/>
      </w:pPr>
      <w:r>
        <w:t xml:space="preserve">— Мероприятие провели в стиле одноименного фильма режиссера Эльдара Рязанова. Для гостей устроили танцевальную программу и тематическую викторину. Каждый округ сделал стенд со своими достижениями за год. Мы представили грамоты, кубки и дипломы участников проекта «Московское долголетие», — рассказала заместитель начальника Управления социальной защиты населения Троицкого и Новомосковского административных округов Анастасия Борисова.</w:t>
      </w:r>
    </w:p>
    <w:p>
      <w:pPr>
        <w:pStyle w:val="BodyText"/>
      </w:pPr>
      <w:r>
        <w:t xml:space="preserve">Она добавила, что новогоднюю елку на стенде украсили вязаными игрушками, которые жители создали на занятиях в учреждении. После мероприятия все деревья отправят в детские дома.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http://tinao.mos.ru/presscenter/news/detail/7770267.html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702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702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2024-10-25T21:20:44Z</dcterms:created>
  <dcterms:modified xsi:type="dcterms:W3CDTF">2024-10-25T21:20:44Z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