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1b678b6a75aa0f2f60859abd9090c6510532b"/>
    <w:p>
      <w:pPr>
        <w:pStyle w:val="Heading3"/>
      </w:pPr>
      <w:r>
        <w:t xml:space="preserve">Волейболисты из Краснопахорского сыграют в четвертьфинале городских соревнований</w:t>
      </w:r>
    </w:p>
    <w:p>
      <w:pPr>
        <w:pStyle w:val="FirstParagraph"/>
      </w:pPr>
      <w:r>
        <w:t xml:space="preserve">24.10.2018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8c/imgpsh_fullsize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Волейболисты из Краснопахорского сыграют в четвертьфинале городских соревнований. Фото: пресс-служба администрации поселения Краснопахорское</w:t>
      </w:r>
    </w:p>
    <w:p>
      <w:pPr>
        <w:pStyle w:val="BodyText"/>
      </w:pPr>
      <w:r>
        <w:t xml:space="preserve">Спортсмены старшей возрастной категории из поселения Краснопахорское 27 октября выступят в одной четвертной финала соревнований по волейболу. Решающие матчи пройдут в рамках городской Спартакиады «Спорт для всех».</w:t>
      </w:r>
    </w:p>
    <w:p>
      <w:pPr>
        <w:pStyle w:val="BodyText"/>
      </w:pPr>
      <w:r>
        <w:t xml:space="preserve">— Наши волейболисты сыграют за Троицкий и Новомосковский административные округа. До этого мы одержали победу над командами из Зеленограда и противниками из двух муниципальных образований юга столицы, — рассказал заместитель директора спортивного комплекса «Красная Пахра» Игорь Белослюдов.</w:t>
      </w:r>
    </w:p>
    <w:p>
      <w:pPr>
        <w:pStyle w:val="BodyText"/>
      </w:pPr>
      <w:r>
        <w:t xml:space="preserve">Он добавил, что игра пройдет в Северо-Западном административном округе Москвы. Одним из противников станет местная команда. Остальных соперников объявят в день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http://tinao.mos.ru/presscenter/news/detail/7655609.html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5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5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2025-03-09T06:13:56Z</dcterms:created>
  <dcterms:modified xsi:type="dcterms:W3CDTF">2025-03-09T06:13:56Z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