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c20992fa94071864556a0482ed71621ab652e"/>
    <w:p>
      <w:pPr>
        <w:pStyle w:val="Heading3"/>
      </w:pPr>
      <w:r>
        <w:t xml:space="preserve">Представители Молодежной палаты запланировали провести тематическую встречу</w:t>
      </w:r>
    </w:p>
    <w:p>
      <w:pPr>
        <w:pStyle w:val="FirstParagraph"/>
      </w:pPr>
      <w:r>
        <w:t xml:space="preserve">03.07.2018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a3/molodez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Представители Молодежной палаты запланировали провести тематическую встречу.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поселения Филимонковское запланировали провести 6 июля тематическую встречу.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пройдет на территории Психоневрологического интерната №5. Члены Молодежной палаты организуют прогулку. Во время встречи ребята пообщаются с получателями социальных услуг. Количество участников еще не известно, — отметил представитель Молодежной палаты поселения Филимонковское.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программа мероприятия появится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местные активисты приняли участие в организации Дня молодежи. Они представили Азербайджан на празднике в поселении Краснопахорское. Участники мероприятия приготовили национальные блюда: плов и рахат-лукум.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http://tinao.mos.ru/presscenter/news/detail/7427727.html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7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7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2025-03-11T07:48:04Z</dcterms:created>
  <dcterms:modified xsi:type="dcterms:W3CDTF">2025-03-11T07:48:04Z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