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более-25-дворов-благоустроят-в-щербинке"/>
    <w:p>
      <w:pPr>
        <w:pStyle w:val="Heading3"/>
      </w:pPr>
      <w:r>
        <w:t xml:space="preserve">Более 25 дворов благоустроят в Щербинке</w:t>
      </w:r>
    </w:p>
    <w:p>
      <w:pPr>
        <w:pStyle w:val="FirstParagraph"/>
      </w:pPr>
      <w:r>
        <w:t xml:space="preserve">18.05.2018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04038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522/dvor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40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Более 25 дворов благоустроят в Щербинке. Фото: архив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Работы по благоустройству дворовых территорий продолжатся в Щербинке. Об этом 17 мая сообщили в администрации городского округа.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— Всего в Щербинке будут обустроены детские и спортивные площадки в 26 дворах. Во всех точках обновят резиновое покрытие. Качели, лавочки и другие объекты будут приведены в порядок или заменены. Разумеется, если малые архитектурные формы эксплуатируются менее двух лет, то их замена производиться не будет, — поделился заместитель главы администрации городского округа Щербинка Александр Шутиков.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Кроме того, в Щербинке продолжатся работы по наполнению песочниц.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http://tinao.mos.ru/presscenter/news/detail/7337950.html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33795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33795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2024-10-11T17:59:12Z</dcterms:created>
  <dcterms:modified xsi:type="dcterms:W3CDTF">2024-10-11T17:59:12Z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