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f179bf98f593bec5befda7d949e0716acfc32"/>
    <w:p>
      <w:pPr>
        <w:pStyle w:val="Heading3"/>
      </w:pPr>
      <w:r>
        <w:t xml:space="preserve">Мультаттракцион организуют для юных жителей Десеновского</w:t>
      </w:r>
    </w:p>
    <w:p>
      <w:pPr>
        <w:pStyle w:val="FirstParagraph"/>
      </w:pPr>
      <w:r>
        <w:t xml:space="preserve">04.04.2018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0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32/mult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Мультаттракцион организуют для юных жителей Десеновского.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№263 поселения Десеновское 6 апреля пройдет мероприятие, посвященное Дню российской анимации.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подготовили увлекательную программу для юных гостей нашего культурного учреждения. На мультаттракционе все желающие смогут узнать историю развития анимации, — поделилась заведующая библиотекой №263 Ольга Самойлова. — Особое внимание будет уделено, конечно же, работам советских художников. В конце мероприятия участникам покажут современные мультипликационные фильмы.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День российской анимации ежегодно отмечается 8 апреля, в дату выхода первого отечественного мультипликационного фильма «Прекрасная Люканида».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в 16:00.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http://tinao.mos.ru/presscenter/news/detail/7241640.html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41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41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2025-05-06T14:21:44Z</dcterms:created>
  <dcterms:modified xsi:type="dcterms:W3CDTF">2025-05-06T14:21:44Z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