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7c9018042b79350d350ca8d48f7d4e57693e01"/>
    <w:p>
      <w:pPr>
        <w:pStyle w:val="Heading3"/>
      </w:pPr>
      <w:r>
        <w:t xml:space="preserve">Сборная Новой Москвы по хоккею провела первые матчи</w:t>
      </w:r>
    </w:p>
    <w:p>
      <w:pPr>
        <w:pStyle w:val="FirstParagraph"/>
      </w:pPr>
      <w:r>
        <w:t xml:space="preserve">08.02.2018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c61/prefectoho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Сборная Новой Москвы по хоккею провела первые матчи. Фото: администрация поселения Кленовское</w:t>
      </w:r>
    </w:p>
    <w:p>
      <w:pPr>
        <w:pStyle w:val="BodyText"/>
      </w:pPr>
      <w:r>
        <w:t xml:space="preserve">Сборная Троицкого и Новомосковского административных округов по хоккею, в которую вошли ребята из поселения Кленовское, 7 февраля сыграла против команды Южного административного округа.</w:t>
      </w:r>
    </w:p>
    <w:p>
      <w:pPr>
        <w:pStyle w:val="BodyText"/>
      </w:pPr>
      <w:r>
        <w:t xml:space="preserve">— В рамках турнира «Золотая шайба» Новая Москва представила составы трех возрастных групп. Команда 2007-2008 годов, в которую вошли три спортсмена из Кленовского, несмотря на боевой настрой и слаженность действий, все же проиграла коллегам из ЮАО. Ребята 2005-2006 годов выиграли матч в своей возрастной группе со счетом 14:0. В команду вошли представители Спортивного клуба «Русь» и поселения Сосенское. Ребята показали великолепную игру и уже в первом периоде забросили шесть шайб, — рассказал директор СК «Русь» Юрий Пегунов.</w:t>
      </w:r>
    </w:p>
    <w:p>
      <w:pPr>
        <w:pStyle w:val="BodyText"/>
      </w:pPr>
      <w:r>
        <w:t xml:space="preserve">Он отметил, что на соревнованиях прошли игры между спортсменами 2003-2004 годов рождения. Борьба была равной, но сборная, состоящая из ребят поселений Кленовское, Сосенское и городского округа Щербинка, победила со счетом 2:1.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http://tinao.mos.ru/presscenter/news/detail/7137065.html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1370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1370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2023-08-10T09:11:00Z</dcterms:created>
  <dcterms:modified xsi:type="dcterms:W3CDTF">2023-08-10T09:11:00Z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