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2247809c91f4ac80d649803d6d845a44c9717"/>
    <w:p>
      <w:pPr>
        <w:pStyle w:val="Heading3"/>
      </w:pPr>
      <w:r>
        <w:t xml:space="preserve">Асфальтовое покрытие обновят на дворовой территории в Воскресенском</w:t>
      </w:r>
    </w:p>
    <w:p>
      <w:pPr>
        <w:pStyle w:val="FirstParagraph"/>
      </w:pPr>
      <w:r>
        <w:t xml:space="preserve">11.07.2017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34/file6g3jk9aobl52g2d23tq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Асфальтовое покрытие обновят на дворовой территории в Воскресенском.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тротуаров и проезжей части проведут на дворовой территории домов №28 и №29. Работы, которые выполняются на бюджетные средства Москвы, завершат до 15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в рамках программы по благоустройству дворовых территорий полностью заменят бордюры, асфальт на проезжей части и тротуарах, — поделился главный специалист отдела жилищно-коммунального хозяйства и благоустройства местной администрации Андрей Архипов. — Вместо старой пешеходной лестницы появится новая, выложенная брусчаткой.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этого, во дворе обновят газон, добавил Андрей Архипов.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http://tinao.mos.ru/presscenter/news/detail/6433994.html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33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33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2024-10-17T02:50:53Z</dcterms:created>
  <dcterms:modified xsi:type="dcterms:W3CDTF">2024-10-17T02:50:53Z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