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d6701d148dfaff376c81bb329f0078c25dc44"/>
    <w:p>
      <w:pPr>
        <w:pStyle w:val="Heading3"/>
      </w:pPr>
      <w:r>
        <w:t xml:space="preserve">Более 30 новостроек проверили на энергоэффективность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d/file6pd2ic8x1j9tfwaca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Более 30 новостроек проверили на энергоэффективность.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исследований, экспертиз и испытаний в строительстве проверил на энергоэффективность 32 новостройки. Об этом 13 декабря сообщил директор центра Виктор Егоров во время пресс-конференции.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 нашей инспекции 32 объекта, все из которых представляют собой новостройки, прошли обследования на энергоэффективность, — отметил Виктор Егоров.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Совместно с Мосгосстройнадзором проводились обследования на значимых объектах столицы: в метрополитене, на стадионах «Лужники», «Динамо» и ЦСКА, в будущем парке «Зарядье».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директора центра, с начала текущего года на строящихся объектах специалистами выполнено 12 тысяч государственных работ. При этом в следующем году их число увеличится до 13 тысяч.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http://tinao.mos.ru/presscenter/news/detail/4457640.html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5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5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2024-09-15T12:30:09Z</dcterms:created>
  <dcterms:modified xsi:type="dcterms:W3CDTF">2024-09-15T12:30:09Z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