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b25e07951ef710192757fdc06a2133cc59db9"/>
    <w:p>
      <w:pPr>
        <w:pStyle w:val="Heading3"/>
      </w:pPr>
      <w:r>
        <w:t xml:space="preserve">Отчет ГБУ АвД ТиНАО об исполнении Государственного задания в III квартале 2017 года</w:t>
      </w:r>
    </w:p>
    <w:p>
      <w:pPr>
        <w:pStyle w:val="FirstParagraph"/>
      </w:pPr>
      <w:r>
        <w:t xml:space="preserve">10.01.2018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Отчет ГБУ АвД ТиНАО об исполнении Государственного задания в III квартале 2017 года</w:t>
        </w:r>
      </w:hyperlink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http://tinao.mos.ru/legislation/projectsotchets/detail/7079700.html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s/stati_kartinki/DOCS/otchet_gos_zad_2017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7079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stati_kartinki/DOCS/otchet_gos_zad_2017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7079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2025-02-16T03:00:11Z</dcterms:created>
  <dcterms:modified xsi:type="dcterms:W3CDTF">2025-02-16T03:00:11Z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