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d55541def90583d0c3dc43b9b6cf4f3c912ad"/>
    <w:p>
      <w:pPr>
        <w:pStyle w:val="Heading3"/>
      </w:pPr>
      <w:r>
        <w:t xml:space="preserve">Отчет ГБУ "Автомобильные дороги" ТиНАО об исполнении Государственного задания во II квартале 2017 года</w:t>
      </w:r>
    </w:p>
    <w:p>
      <w:pPr>
        <w:pStyle w:val="FirstParagraph"/>
      </w:pPr>
      <w:r>
        <w:t xml:space="preserve">04.08.2017</w:t>
      </w:r>
    </w:p>
    <w:p>
      <w:pPr>
        <w:pStyle w:val="BodyText"/>
      </w:pPr>
      <w:hyperlink r:id="rId20">
        <w:r>
          <w:rPr>
            <w:rStyle w:val="Hyperlink"/>
          </w:rPr>
          <w:t xml:space="preserve">Отчет ГБУ "Автомобильные дороги" ТиНАО об исполнении Государственного задания во II квартале 2017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http://tinao.mos.ru/legislation/projectsotchets/detail/6620504.html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s/stati_kartinki/New%20Folder/protok2017/zad_2-2017_izm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6620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stati_kartinki/New%20Folder/protok2017/zad_2-2017_izm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6620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2024-07-24T23:03:53Z</dcterms:created>
  <dcterms:modified xsi:type="dcterms:W3CDTF">2024-07-24T23:03:53Z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