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3f22ad5a5041897abe31cc8495a88dc4cd78b2"/>
    <w:p>
      <w:pPr>
        <w:pStyle w:val="Heading3"/>
      </w:pPr>
      <w:r>
        <w:t xml:space="preserve">Распоряжение 93-РП от 19.05.2017 О внесении изменений в распоряжение от 30.12.2016 № 740-РП Об утверждении Государственного задания на 2017 год ГБУ Автомобильные дороги ТиНАО (2)</w:t>
      </w:r>
    </w:p>
    <w:p>
      <w:pPr>
        <w:pStyle w:val="FirstParagraph"/>
      </w:pPr>
      <w:r>
        <w:t xml:space="preserve">25.05.2017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Распоряжение 93-РП от 19.05.2017 О внесении изменений в распоряжение от 30.12.2016 № 740-РП Об утверждении Государственного задания на 2017 год ГБУ Автомобильные дороги ТиНАО (2)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http://tinao.mos.ru/legislation/projectsotchets/detail/6034268.html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images/stati_kartinki/New%20Folder/protok2017/rasp30_12_2016_740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6034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mages/stati_kartinki/New%20Folder/protok2017/rasp30_12_2016_740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6034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2025-04-18T17:10:11Z</dcterms:created>
  <dcterms:modified xsi:type="dcterms:W3CDTF">2025-04-18T17:10:11Z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