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a17fe8231dc5c71555b237178017faac759c39"/>
    <w:p>
      <w:pPr>
        <w:pStyle w:val="Heading3"/>
      </w:pPr>
      <w:r>
        <w:t xml:space="preserve">Отчет об исполнении Государственного задания за 1 квартал 2017 года ГБУ «Автомобильные дороги ТиНАО»</w:t>
      </w:r>
    </w:p>
    <w:p>
      <w:pPr>
        <w:pStyle w:val="FirstParagraph"/>
      </w:pPr>
      <w:r>
        <w:t xml:space="preserve">12.05.2017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Отчет об исполнении Государственного задания за 1 квартал 2017 года ГБУ «Автомобильные дороги ТиНАО»</w:t>
        </w:r>
      </w:hyperlink>
      <w:r>
        <w:br/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http://tinao.mos.ru/legislation/projectsotchets/detail/5920762.html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images/stati_kartinki/New%20Folder/protok2017/otch_dor_2017_1kv.pdf" TargetMode="Externa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5920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images/stati_kartinki/New%20Folder/protok2017/otch_dor_2017_1kv.pdf" TargetMode="Externa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5920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2025-08-03T12:48:47Z</dcterms:created>
  <dcterms:modified xsi:type="dcterms:W3CDTF">2025-08-03T12:48:47Z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