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6a6a71d7e93f3b162d4b9c88e3c4858d078b2f"/>
    <w:p>
      <w:pPr>
        <w:pStyle w:val="Heading3"/>
      </w:pPr>
      <w:r>
        <w:t xml:space="preserve">Государственное задание ГБУ Автомобильные дороги ТиНАО на 2017 год</w:t>
      </w:r>
    </w:p>
    <w:p>
      <w:pPr>
        <w:pStyle w:val="FirstParagraph"/>
      </w:pPr>
      <w:r>
        <w:t xml:space="preserve">21.04.2017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http://tinao.mos.ru/legislation/projectsotchets/detail/5713580.html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inao.mos.ru" TargetMode="External" /><Relationship Type="http://schemas.openxmlformats.org/officeDocument/2006/relationships/hyperlink" Id="rId20" Target="http://tinao.mos.ru/legislation/projectsotchets/detail/571358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inao.mos.ru" TargetMode="External" /><Relationship Type="http://schemas.openxmlformats.org/officeDocument/2006/relationships/hyperlink" Id="rId20" Target="http://tinao.mos.ru/legislation/projectsotchets/detail/571358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2025-08-03T14:32:50Z</dcterms:created>
  <dcterms:modified xsi:type="dcterms:W3CDTF">2025-08-03T14:32:50Z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