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fddeda24d0ac5402824ced805d7665784b6554"/>
    <w:p>
      <w:pPr>
        <w:pStyle w:val="Heading3"/>
      </w:pPr>
      <w:r>
        <w:t xml:space="preserve">03_Государственное задание ГБУ Автомобильные дороги ТиНАО на 2016 год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hyperlink r:id="rId20">
        <w:r>
          <w:rPr>
            <w:rStyle w:val="Hyperlink"/>
          </w:rPr>
          <w:t xml:space="preserve">03_Государственное задание ГБУ Автомобильные дороги ТиНАО на 2016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http://tinao.mos.ru/legislation/projectsotchets/detail/4275964.html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4275964.html" TargetMode="External" /><Relationship Type="http://schemas.openxmlformats.org/officeDocument/2006/relationships/hyperlink" Id="rId20" Target="https://cloud.mail.ru/public/Hj6D/Te8WySY2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4275964.html" TargetMode="External" /><Relationship Type="http://schemas.openxmlformats.org/officeDocument/2006/relationships/hyperlink" Id="rId20" Target="https://cloud.mail.ru/public/Hj6D/Te8WySY2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2025-02-09T12:22:23Z</dcterms:created>
  <dcterms:modified xsi:type="dcterms:W3CDTF">2025-02-09T12:22:23Z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