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9f2efadca65c4eff0bbf3963dddb533fda19"/>
    <w:p>
      <w:pPr>
        <w:pStyle w:val="Heading3"/>
      </w:pPr>
      <w:r>
        <w:t xml:space="preserve">О внесении изменений в распоряжение префектуры от 31.12.2013 № 1186-РП "Об утверждении Государственного задания на 2014 год Государственному бюджетному учреждению города Москвы «Дирекция по обслуживанию территорий зеленого фонда ТиНАО"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  <w:r>
        <w:t xml:space="preserve">О внесении изменений в распоряжение префектуры от 31.12.2013 № 1186-РП "Об утверждении Государственного задания на 2014 год Государственному бюджетному учреждению города Москвы «Дирекция по обслуживанию территорий зеленого фонда ТиНАО"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http://tinao.mos.ru/legislation/projectsotchets/detail/1926709.html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192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192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2025-03-22T04:52:24Z</dcterms:created>
  <dcterms:modified xsi:type="dcterms:W3CDTF">2025-03-22T04:52:24Z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