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X5a9c31553b7ae990e1833d5aaadb3180d62e21d"/>
    <w:p>
      <w:pPr>
        <w:pStyle w:val="Heading3"/>
      </w:pPr>
      <w:r>
        <w:t xml:space="preserve">Отчет по итогам работы ГБУ «Автомобильные дороги ТиНАО» за I квартал 2022 г. для премирования руководителя</w:t>
      </w:r>
    </w:p>
    <w:p>
      <w:pPr>
        <w:pStyle w:val="FirstParagraph"/>
      </w:pPr>
      <w:r>
        <w:t xml:space="preserve">05.10.2022</w:t>
      </w:r>
    </w:p>
    <w:p>
      <w:pPr>
        <w:pStyle w:val="BodyText"/>
      </w:pPr>
      <w:hyperlink r:id="rId20">
        <w:r>
          <w:rPr>
            <w:rStyle w:val="Hyperlink"/>
          </w:rPr>
          <w:t xml:space="preserve">Отчет по итогам работы ГБУ «Автомобильные дороги ТиНАО» за I квартал 2022 г. для премирования руководителя</w:t>
        </w:r>
      </w:hyperlink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1">
        <w:r>
          <w:rPr>
            <w:rStyle w:val="Hyperlink"/>
          </w:rPr>
          <w:t xml:space="preserve">http://tinao.mos.ru/legislation/projectsotchets/detail/11090570.html</w:t>
        </w:r>
      </w:hyperlink>
    </w:p>
    <w:p>
      <w:pPr>
        <w:pStyle w:val="BodyText"/>
      </w:pPr>
      <w:hyperlink r:id="rId22">
        <w:r>
          <w:rPr>
            <w:rStyle w:val="Hyperlink"/>
          </w:rPr>
          <w:t xml:space="preserve">Префектура Троицкого и Новомосковского административных округов города Москвы</w:t>
        </w:r>
      </w:hyperlink>
    </w:p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/020622ar1.zip" TargetMode="External" /><Relationship Type="http://schemas.openxmlformats.org/officeDocument/2006/relationships/hyperlink" Id="rId22" Target="http://tinao.mos.ru" TargetMode="External" /><Relationship Type="http://schemas.openxmlformats.org/officeDocument/2006/relationships/hyperlink" Id="rId21" Target="http://tinao.mos.ru/legislation/projectsotchets/detail/11090570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/020622ar1.zip" TargetMode="External" /><Relationship Type="http://schemas.openxmlformats.org/officeDocument/2006/relationships/hyperlink" Id="rId22" Target="http://tinao.mos.ru" TargetMode="External" /><Relationship Type="http://schemas.openxmlformats.org/officeDocument/2006/relationships/hyperlink" Id="rId21" Target="http://tinao.mos.ru/legislation/projectsotchets/detail/11090570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2025-02-16T02:41:24Z</dcterms:created>
  <dcterms:modified xsi:type="dcterms:W3CDTF">2025-02-16T02:41:24Z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