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358527e9160b4b59c1cfcaa6dcfb7b24b3ba54a"/>
    <w:p>
      <w:pPr>
        <w:pStyle w:val="Heading3"/>
      </w:pPr>
      <w:r>
        <w:t xml:space="preserve">ОПОВЕЩЕНИЕ о начале общественных обсуждений по проекту внесения изменений в правила землепользования и застройки города Москвы в отношении территории по адресу: пос. Михайлово-Ярцевское, вблизи п. Секерино</w:t>
      </w:r>
    </w:p>
    <w:p>
      <w:pPr>
        <w:pStyle w:val="FirstParagraph"/>
      </w:pPr>
      <w:r>
        <w:t xml:space="preserve">10.07.2020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http://tinao.mos.ru/electronic-public-discussion/detail/9016689.html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tinao.mos.ru" TargetMode="External" /><Relationship Type="http://schemas.openxmlformats.org/officeDocument/2006/relationships/hyperlink" Id="rId20" Target="http://tinao.mos.ru/electronic-public-discussion/detail/901668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tinao.mos.ru" TargetMode="External" /><Relationship Type="http://schemas.openxmlformats.org/officeDocument/2006/relationships/hyperlink" Id="rId20" Target="http://tinao.mos.ru/electronic-public-discussion/detail/901668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2024-07-23T16:15:54Z</dcterms:created>
  <dcterms:modified xsi:type="dcterms:W3CDTF">2024-07-23T16:15:54Z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